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42" w:firstLineChars="700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32"/>
          <w:szCs w:val="32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32"/>
          <w:szCs w:val="32"/>
          <w:lang w:val="en-US" w:eastAsia="zh-CN"/>
        </w:rPr>
        <w:t>灵修生活（一）：读经生活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60" w:firstLineChars="1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提后三15-17；西三16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灵修生活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 对于灵修生活的本质和价值，可以从两个角度来了解：1、通过撒种的比喻来认识灵修生活的定位；2、通过一个人性结构图来认识灵修的本质。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 w:firstLine="0" w:firstLineChars="0"/>
        <w:textAlignment w:val="auto"/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从撒种的比喻来认识灵修生活的定位</w:t>
      </w:r>
      <w:r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  <w:t xml:space="preserve"> （路八5-8，11-15）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这个比喻讲到了三个要素或环节：1、种子；2、土壤；3、结实。其中，种子就是神的道。土壤就是听道者的心灵状况。结实则取决于我们的耕种和劳作。显然，灵修生活是跟“土壤”这个要素或环节相关。这就是灵修生活的定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这个比喻既可以用在个人身上，也可以用在教会身上。对个人来说，土壤代表我们的生命、灵性和品格。对教会来说，土壤则代表灵性和文化。无论对个人或教会，神让我们看到，“土壤”是我们的薄弱环节，而这个环节跟灵修生活的关系最为密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（二）通过一个人性结构图来认识灵修生活的本质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最近，神透过一个人性结构图来向我开启灵修生活的丰富内涵。 从大体结构上说，它告诉我们人性或自我有六个不同的层次，由里而外分别是：1、灵（人的灵、圣灵）；2、心（良心、价值、意志）；3、思想（观念、形象、信息、判断、推理）；4、感觉（知觉、情感）；5、身体（言语、行动）；6、人际关系/社交情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初级的灵修生活主要指前三个层面，这三个层面可以合称为心灵。我们这个月的主题所谈到的灵修生活：读经、祷告和圣灵充满，主要是从初级的灵修生活而言的，主要是喂养我们的心灵。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根据约十9，14，27，所谓初信造就，就是成为主的羊。如何成为主的羊呢？初级的灵修生活旨在培养羊跟牧人的关系：认识主、听主的声音，并且跟着主。家庭、小组和教会生活旨在转化羊的</w:t>
      </w:r>
      <w:r>
        <w:rPr>
          <w:rFonts w:hint="eastAsia" w:ascii="DengXian" w:hAnsi="DengXian" w:eastAsia="DengXian" w:cs="DengXian"/>
          <w:b/>
          <w:bCs w:val="0"/>
          <w:sz w:val="22"/>
          <w:szCs w:val="22"/>
          <w:lang w:val="en-US" w:eastAsia="zh-CN"/>
        </w:rPr>
        <w:t>人际关系</w:t>
      </w:r>
      <w:r>
        <w:rPr>
          <w:rFonts w:hint="default" w:ascii="DengXian" w:hAnsi="DengXian" w:eastAsia="DengXian" w:cs="DengXian"/>
          <w:b/>
          <w:bCs w:val="0"/>
          <w:sz w:val="22"/>
          <w:szCs w:val="22"/>
          <w:lang w:val="en-US" w:eastAsia="zh-CN"/>
        </w:rPr>
        <w:t>/</w:t>
      </w:r>
      <w:r>
        <w:rPr>
          <w:rFonts w:hint="eastAsia" w:ascii="DengXian" w:hAnsi="DengXian" w:eastAsia="DengXian" w:cs="DengXian"/>
          <w:b/>
          <w:bCs w:val="0"/>
          <w:sz w:val="22"/>
          <w:szCs w:val="22"/>
          <w:lang w:val="en-US" w:eastAsia="zh-CN"/>
        </w:rPr>
        <w:t>社交情境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圣经的本质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读经是初级灵修生活的主要部分，所以我们通常把读经比作吃喝属灵的食物和饮料。读经的主要目的是喂养我们的思想、心和灵，培养我们和主的个人关系。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认识圣经的本质可以帮助我们适当有效地读经，并且达到喂养心灵，培养与主的亲密关系的目的。圣经的本质有如下三方面：文学性、历史性和神学性。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  <w:t>诗一首：圣经的本质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  <w:t>博大精深、易学难精，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  <w:t>文学体裁、丰富多彩，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  <w:t>关键叙事、深涉历史，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default" w:ascii="DengXian" w:hAnsi="DengXian" w:eastAsia="DengXian" w:cs="DengXian"/>
          <w:b w:val="0"/>
          <w:bCs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  <w:t>神人交通、默示成经。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三、读经的目的与方法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  <w:t>（一）读经的目的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3" w:firstLineChars="300"/>
        <w:textAlignment w:val="auto"/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</w:pPr>
      <w:r>
        <w:rPr>
          <w:rFonts w:hint="eastAsia" w:ascii="FangSong" w:hAnsi="FangSong" w:eastAsia="FangSong" w:cs="FangSong"/>
          <w:b/>
          <w:bCs w:val="0"/>
          <w:sz w:val="22"/>
          <w:szCs w:val="22"/>
          <w:lang w:val="en-US" w:eastAsia="zh-CN"/>
        </w:rPr>
        <w:t>根据提后三15-17，</w:t>
      </w:r>
      <w:r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  <w:t>读经有两大目的：1、得救，就是加入圣经的故事中，2、得胜，就是活在神的旨意中。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/>
          <w:sz w:val="22"/>
          <w:szCs w:val="22"/>
          <w:lang w:val="en-US" w:eastAsia="zh-CN"/>
        </w:rPr>
        <w:t>（二）读经的方法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根据西三16，读经的目的是让神的话丰丰富富进入我们心里，而方法却有许多种。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新教教会中读经的方法主要有三种：1、通读圣经；2、生命读经；3、研读圣经。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    诗一首：读经的方法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每天读经、受益终生，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默想经文、采蜜如蜂，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研读圣经、心意更新，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注重行道、身量长进。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讨论题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根据撒种的比喻，结合你个人的状况，谈谈你对种子、土壤和耕种结实的体会？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谈谈你信主以来在灵修生活上的体会。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谈谈你对圣经的认识，在圣经的本质的三方面，你对哪一方面印象最为深刻？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谈谈你的读经生活，你对新教教会中流行的三种读经方法，哪一种最有体会？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nWang WeiBeiMedium-Gb5">
    <w:panose1 w:val="02000000000000000000"/>
    <w:charset w:val="88"/>
    <w:family w:val="auto"/>
    <w:pitch w:val="default"/>
    <w:sig w:usb0="800000E3" w:usb1="38C9787A" w:usb2="00000016" w:usb3="00000000" w:csb0="00100000" w:csb1="8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515AAF"/>
    <w:multiLevelType w:val="singleLevel"/>
    <w:tmpl w:val="CF515A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42603C"/>
    <w:multiLevelType w:val="singleLevel"/>
    <w:tmpl w:val="FB42603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8F466F3"/>
    <w:multiLevelType w:val="singleLevel"/>
    <w:tmpl w:val="28F466F3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GMxYmY0MzM5Nzc4ZmViMmY5YjU0NWE1ZmM3MWYifQ=="/>
  </w:docVars>
  <w:rsids>
    <w:rsidRoot w:val="0CB43513"/>
    <w:rsid w:val="00BB1099"/>
    <w:rsid w:val="035413E6"/>
    <w:rsid w:val="04130165"/>
    <w:rsid w:val="08C97FFA"/>
    <w:rsid w:val="09001696"/>
    <w:rsid w:val="0CB43513"/>
    <w:rsid w:val="129F7DCE"/>
    <w:rsid w:val="1B28788F"/>
    <w:rsid w:val="1BFF0817"/>
    <w:rsid w:val="1C4660E5"/>
    <w:rsid w:val="20460DB7"/>
    <w:rsid w:val="20F56212"/>
    <w:rsid w:val="22137379"/>
    <w:rsid w:val="29812AD3"/>
    <w:rsid w:val="2BBD78E7"/>
    <w:rsid w:val="2D585D9A"/>
    <w:rsid w:val="3239035B"/>
    <w:rsid w:val="331404B3"/>
    <w:rsid w:val="34D7680F"/>
    <w:rsid w:val="3B683847"/>
    <w:rsid w:val="3FF115D4"/>
    <w:rsid w:val="44A92396"/>
    <w:rsid w:val="4D6B6EBD"/>
    <w:rsid w:val="50B746D9"/>
    <w:rsid w:val="5326082C"/>
    <w:rsid w:val="54A02A0B"/>
    <w:rsid w:val="55D175D1"/>
    <w:rsid w:val="567911EB"/>
    <w:rsid w:val="579C590D"/>
    <w:rsid w:val="586F554A"/>
    <w:rsid w:val="59052CFF"/>
    <w:rsid w:val="590E5DBF"/>
    <w:rsid w:val="5C6F11B7"/>
    <w:rsid w:val="5CD14D1C"/>
    <w:rsid w:val="5D1654FA"/>
    <w:rsid w:val="5E5C49F5"/>
    <w:rsid w:val="5F940AEA"/>
    <w:rsid w:val="678F155C"/>
    <w:rsid w:val="67FA393D"/>
    <w:rsid w:val="6E896D27"/>
    <w:rsid w:val="70175B28"/>
    <w:rsid w:val="71EC1187"/>
    <w:rsid w:val="7B786C08"/>
    <w:rsid w:val="7BAA6BDD"/>
    <w:rsid w:val="7EB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1059</Words>
  <Characters>1077</Characters>
  <Lines>0</Lines>
  <Paragraphs>0</Paragraphs>
  <TotalTime>28</TotalTime>
  <ScaleCrop>false</ScaleCrop>
  <LinksUpToDate>false</LinksUpToDate>
  <CharactersWithSpaces>1104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2022-08-29T17:36:00Z</dcterms:created>
  <dc:creator>Judy Xiang</dc:creator>
  <cp:lastModifiedBy>Judy Xiang</cp:lastModifiedBy>
  <dcterms:modified xsi:type="dcterms:W3CDTF">2022-09-02T18:47:32Z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01B2289F438D4D2A9042E0893CC25BBA</vt:lpwstr>
  </property>
</Properties>
</file>